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22" w:rsidRPr="00BF7522" w:rsidRDefault="00BF7522" w:rsidP="00BF7522">
      <w:pPr>
        <w:rPr>
          <w:rFonts w:ascii="Times New Roman" w:hAnsi="Times New Roman" w:cs="Times New Roman"/>
          <w:sz w:val="24"/>
          <w:szCs w:val="24"/>
        </w:rPr>
      </w:pPr>
    </w:p>
    <w:p w:rsidR="00446E54" w:rsidRPr="00776974" w:rsidRDefault="00446E54" w:rsidP="007769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6974">
        <w:rPr>
          <w:rFonts w:ascii="Times New Roman" w:hAnsi="Times New Roman" w:cs="Times New Roman"/>
          <w:b/>
          <w:color w:val="FF0000"/>
          <w:sz w:val="28"/>
          <w:szCs w:val="28"/>
        </w:rPr>
        <w:t>Заболевания органов пищеварения у лиц пожилого и старческого возраста</w:t>
      </w:r>
      <w:r w:rsidR="007769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776974">
        <w:rPr>
          <w:rFonts w:ascii="Times New Roman" w:hAnsi="Times New Roman" w:cs="Times New Roman"/>
          <w:b/>
          <w:color w:val="FF0000"/>
          <w:sz w:val="28"/>
          <w:szCs w:val="28"/>
        </w:rPr>
        <w:t>Основы профилактики, лечения, рационального питания, реабилитации. Фитотерапия.</w:t>
      </w:r>
    </w:p>
    <w:p w:rsidR="004568F1" w:rsidRPr="00776974" w:rsidRDefault="004568F1" w:rsidP="004568F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76974">
        <w:rPr>
          <w:rFonts w:ascii="Times New Roman" w:hAnsi="Times New Roman" w:cs="Times New Roman"/>
          <w:b/>
          <w:color w:val="002060"/>
          <w:sz w:val="24"/>
          <w:szCs w:val="24"/>
        </w:rPr>
        <w:t>ВЕДЕНИЕ ПАЦИЕНТОВ ПОЖИЛОГО ВОЗРАСТА С ЗАБОЛЕВАНИЯМИ ОРГАНОВ ПИЩЕВАРЕНИЯ</w:t>
      </w:r>
    </w:p>
    <w:p w:rsidR="004568F1" w:rsidRPr="004568F1" w:rsidRDefault="004568F1" w:rsidP="00456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8F1">
        <w:rPr>
          <w:rFonts w:ascii="Times New Roman" w:hAnsi="Times New Roman" w:cs="Times New Roman"/>
          <w:b/>
          <w:sz w:val="24"/>
          <w:szCs w:val="24"/>
        </w:rPr>
        <w:t xml:space="preserve">Изменения пищеварительной системы у </w:t>
      </w:r>
      <w:proofErr w:type="gramStart"/>
      <w:r w:rsidRPr="004568F1">
        <w:rPr>
          <w:rFonts w:ascii="Times New Roman" w:hAnsi="Times New Roman" w:cs="Times New Roman"/>
          <w:b/>
          <w:sz w:val="24"/>
          <w:szCs w:val="24"/>
        </w:rPr>
        <w:t>пожилых</w:t>
      </w:r>
      <w:proofErr w:type="gramEnd"/>
      <w:r w:rsidRPr="004568F1">
        <w:rPr>
          <w:rFonts w:ascii="Times New Roman" w:hAnsi="Times New Roman" w:cs="Times New Roman"/>
          <w:b/>
          <w:sz w:val="24"/>
          <w:szCs w:val="24"/>
        </w:rPr>
        <w:t>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В процессе старения отмечаются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изменения системы пищеварения.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b/>
          <w:sz w:val="24"/>
          <w:szCs w:val="24"/>
        </w:rPr>
        <w:t>Пищевод.</w:t>
      </w:r>
      <w:r w:rsidRPr="004568F1">
        <w:rPr>
          <w:rFonts w:ascii="Times New Roman" w:hAnsi="Times New Roman" w:cs="Times New Roman"/>
          <w:sz w:val="24"/>
          <w:szCs w:val="24"/>
        </w:rPr>
        <w:t xml:space="preserve"> Наблюдается удлинение пищевода и его смещение от средней линии вследствие кифоза грудного отдела и расширения аорты, атрофия слизистой оболочки с уменьшением числа секреторных клеток; в мышечном слое уменьшается число мышечных клеток. В результате снижается тонус стенки и сфинктеров,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внутрипищеводное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давление, развивается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гипомоторная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дискинезия, в некоторых случая</w:t>
      </w:r>
      <w:r>
        <w:rPr>
          <w:rFonts w:ascii="Times New Roman" w:hAnsi="Times New Roman" w:cs="Times New Roman"/>
          <w:sz w:val="24"/>
          <w:szCs w:val="24"/>
        </w:rPr>
        <w:t xml:space="preserve">х — склонность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эзофагоспазму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b/>
          <w:sz w:val="24"/>
          <w:szCs w:val="24"/>
        </w:rPr>
        <w:t>Желудок.</w:t>
      </w:r>
      <w:r w:rsidRPr="004568F1">
        <w:rPr>
          <w:rFonts w:ascii="Times New Roman" w:hAnsi="Times New Roman" w:cs="Times New Roman"/>
          <w:sz w:val="24"/>
          <w:szCs w:val="24"/>
        </w:rPr>
        <w:t xml:space="preserve"> В результате сокращения площади капиллярного русла развивается склонность к гипоксии. Происходят атрофия нервного аппарата, дегенерация мышечных волокон. Снижается тонус желудка (в большей степени тела и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антрального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отдела). Перистальтическая активность в </w:t>
      </w:r>
      <w:r>
        <w:rPr>
          <w:rFonts w:ascii="Times New Roman" w:hAnsi="Times New Roman" w:cs="Times New Roman"/>
          <w:sz w:val="24"/>
          <w:szCs w:val="24"/>
        </w:rPr>
        <w:t>целом достоверно не изменяется.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Отмечается диффузное снижение количества трубчатых желез и секреторных клеток. Нарушается выработка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нейтральныхмукополисахаридов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>. В главных клетках значительно уменьшается содержание пепсиновых гранул. В составе желудочного сока более выражено снижение</w:t>
      </w:r>
      <w:r>
        <w:rPr>
          <w:rFonts w:ascii="Times New Roman" w:hAnsi="Times New Roman" w:cs="Times New Roman"/>
          <w:sz w:val="24"/>
          <w:szCs w:val="24"/>
        </w:rPr>
        <w:t xml:space="preserve"> содержания кислых компонентов.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Доказано, что в пожилом возрасте регенераторные способности слизистой оболочки сохранены, но нарушен</w:t>
      </w:r>
      <w:r>
        <w:rPr>
          <w:rFonts w:ascii="Times New Roman" w:hAnsi="Times New Roman" w:cs="Times New Roman"/>
          <w:sz w:val="24"/>
          <w:szCs w:val="24"/>
        </w:rPr>
        <w:t xml:space="preserve"> процесс дифференциации клеток.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b/>
          <w:sz w:val="24"/>
          <w:szCs w:val="24"/>
        </w:rPr>
        <w:t>Поджелудочная железа.</w:t>
      </w:r>
      <w:r w:rsidRPr="004568F1">
        <w:rPr>
          <w:rFonts w:ascii="Times New Roman" w:hAnsi="Times New Roman" w:cs="Times New Roman"/>
          <w:sz w:val="24"/>
          <w:szCs w:val="24"/>
        </w:rPr>
        <w:t xml:space="preserve"> Наблюдается возрастная атрофия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ацинусов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(к 80 годам их число снижается вдвое), одновременно снижается объем секреции бикарбонатов и ферментов. </w:t>
      </w:r>
      <w:proofErr w:type="gramStart"/>
      <w:r w:rsidRPr="004568F1">
        <w:rPr>
          <w:rFonts w:ascii="Times New Roman" w:hAnsi="Times New Roman" w:cs="Times New Roman"/>
          <w:sz w:val="24"/>
          <w:szCs w:val="24"/>
        </w:rPr>
        <w:t>В наименьшей степени снижается продукция амилазы, в большей — липазы.</w:t>
      </w:r>
      <w:proofErr w:type="gramEnd"/>
      <w:r w:rsidRPr="004568F1">
        <w:rPr>
          <w:rFonts w:ascii="Times New Roman" w:hAnsi="Times New Roman" w:cs="Times New Roman"/>
          <w:sz w:val="24"/>
          <w:szCs w:val="24"/>
        </w:rPr>
        <w:t xml:space="preserve"> Вследствие снижения продукции желчи и энтерокиназы, в двенадцатиперстной кишке нарушается процесс активации ферментов поджелудочной железы, что усугубляет проявления внешнесекреторной недост</w:t>
      </w:r>
      <w:r>
        <w:rPr>
          <w:rFonts w:ascii="Times New Roman" w:hAnsi="Times New Roman" w:cs="Times New Roman"/>
          <w:sz w:val="24"/>
          <w:szCs w:val="24"/>
        </w:rPr>
        <w:t>аточности поджелудочной железы.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b/>
          <w:sz w:val="24"/>
          <w:szCs w:val="24"/>
        </w:rPr>
        <w:t>Желчный пузырь.</w:t>
      </w:r>
      <w:r w:rsidRPr="004568F1">
        <w:rPr>
          <w:rFonts w:ascii="Times New Roman" w:hAnsi="Times New Roman" w:cs="Times New Roman"/>
          <w:sz w:val="24"/>
          <w:szCs w:val="24"/>
        </w:rPr>
        <w:t xml:space="preserve"> По мере старения развивается гипокинезия желчных путей, причиной которой являются фиброзные изменения мышечной ткани дна пузыря, деформация клапанного аппарата, снижение продукции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холецистокинина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>. Кроме того, снижается концентрационная функция желчного пузыря, что способствует повышению литоген</w:t>
      </w:r>
      <w:r>
        <w:rPr>
          <w:rFonts w:ascii="Times New Roman" w:hAnsi="Times New Roman" w:cs="Times New Roman"/>
          <w:sz w:val="24"/>
          <w:szCs w:val="24"/>
        </w:rPr>
        <w:t>ных свойств желчи.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b/>
          <w:sz w:val="24"/>
          <w:szCs w:val="24"/>
        </w:rPr>
        <w:t>Печень.</w:t>
      </w:r>
      <w:r w:rsidRPr="004568F1">
        <w:rPr>
          <w:rFonts w:ascii="Times New Roman" w:hAnsi="Times New Roman" w:cs="Times New Roman"/>
          <w:sz w:val="24"/>
          <w:szCs w:val="24"/>
        </w:rPr>
        <w:t xml:space="preserve"> С увеличением возраста уменьшается масса органа, чаще выявляются признаки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стеатоза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. Изменение метаболических процессов выражается также в снижении </w:t>
      </w:r>
      <w:r w:rsidRPr="004568F1">
        <w:rPr>
          <w:rFonts w:ascii="Times New Roman" w:hAnsi="Times New Roman" w:cs="Times New Roman"/>
          <w:sz w:val="24"/>
          <w:szCs w:val="24"/>
        </w:rPr>
        <w:lastRenderedPageBreak/>
        <w:t xml:space="preserve">гликогенобразующей, антитоксической функции, снижении активности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микросомального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окисления.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b/>
          <w:sz w:val="24"/>
          <w:szCs w:val="24"/>
        </w:rPr>
        <w:t>Кишечник.</w:t>
      </w:r>
      <w:r w:rsidRPr="004568F1">
        <w:rPr>
          <w:rFonts w:ascii="Times New Roman" w:hAnsi="Times New Roman" w:cs="Times New Roman"/>
          <w:sz w:val="24"/>
          <w:szCs w:val="24"/>
        </w:rPr>
        <w:t xml:space="preserve"> Возрастные изменения в кишечнике включают укорочение ворсинок и уменьшение слоя крипт, появление полей атрофии эпителия, уменьшение количества бокаловидных клеток (особенно в двенадцатиперстной кишке). В результате нарушаются пристеночное пищеварение и абсорбция пищевых компонентов. Кроме того, отмечается ослабление двигательной функции толстой кишки. Этому также способствует снижение тонуса мышц брюшной стенки и таза. С высокой частотой выявляются дивертикулы толстой кишки. Отмечается также атеросклеротическ</w:t>
      </w:r>
      <w:r>
        <w:rPr>
          <w:rFonts w:ascii="Times New Roman" w:hAnsi="Times New Roman" w:cs="Times New Roman"/>
          <w:sz w:val="24"/>
          <w:szCs w:val="24"/>
        </w:rPr>
        <w:t>ое поражение артерий кишечника.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В структуре заболеваний органов пищеварения у лиц пожилого и старческого возраста наиболее важное место занимают такие расстройства как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гастроэзофагеальнаярефлюксная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болезнь (ГЭРБ), язвенные поражения желудка и двенадцатиперстной кишки, хронический панкреатит, калькулезный холецистит, висцеральный ишемический синдром, хронические запоры, а также злокачественные опухоли то</w:t>
      </w:r>
      <w:r>
        <w:rPr>
          <w:rFonts w:ascii="Times New Roman" w:hAnsi="Times New Roman" w:cs="Times New Roman"/>
          <w:sz w:val="24"/>
          <w:szCs w:val="24"/>
        </w:rPr>
        <w:t>лстой кишки, пищевода, желудка.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Частота ГЭРБ возрастает как следствие недостаточности кардиального сфинктера и снижения пищеводного клиренса. Необходимо дифференцировать симптоматику этого заболевания от проявлений ишемической болезни сердца (в случае поражения пищевода ощущение жгучей боли за грудиной купируется приемом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антацидных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ЛС). </w:t>
      </w:r>
      <w:proofErr w:type="gramStart"/>
      <w:r w:rsidRPr="004568F1">
        <w:rPr>
          <w:rFonts w:ascii="Times New Roman" w:hAnsi="Times New Roman" w:cs="Times New Roman"/>
          <w:sz w:val="24"/>
          <w:szCs w:val="24"/>
        </w:rPr>
        <w:t>Схема лечения этого заболевания у пожилых принципиально не отличается от таковой</w:t>
      </w:r>
      <w:r>
        <w:rPr>
          <w:rFonts w:ascii="Times New Roman" w:hAnsi="Times New Roman" w:cs="Times New Roman"/>
          <w:sz w:val="24"/>
          <w:szCs w:val="24"/>
        </w:rPr>
        <w:t xml:space="preserve"> у лиц более молодого возраста.</w:t>
      </w:r>
      <w:proofErr w:type="gramEnd"/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антацидных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ЛС преимущество следует отдавать невсасывающимся антацидам, содержащим в составе магний (с учетом возможности возникновения зап</w:t>
      </w:r>
      <w:r>
        <w:rPr>
          <w:rFonts w:ascii="Times New Roman" w:hAnsi="Times New Roman" w:cs="Times New Roman"/>
          <w:sz w:val="24"/>
          <w:szCs w:val="24"/>
        </w:rPr>
        <w:t>оров на фоне лечения этими ЛС).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При выборе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прокинетика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метоклопрамиду следует предпочесть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домперидон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, который практически не проникает через гематоэнцефалический барьер и не дает побочные эффекты в виде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паркинсоноподобной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симптоматики.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</w:p>
    <w:p w:rsidR="004568F1" w:rsidRPr="004568F1" w:rsidRDefault="004568F1" w:rsidP="00456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8F1">
        <w:rPr>
          <w:rFonts w:ascii="Times New Roman" w:hAnsi="Times New Roman" w:cs="Times New Roman"/>
          <w:b/>
          <w:sz w:val="24"/>
          <w:szCs w:val="24"/>
        </w:rPr>
        <w:t>Язвенные поражения желудка и двенадцатиперстной кишки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Этиологические факторы язвенных поражений желудка и двенадцатиперстной кишки у пациентов пожилого и старческого возраста в целом соответствуют таковым в более молодых группах. Однако по локализации преобладающим является поражение желудка (в пожилом возрасте язвы желудка выявляются в 1,7 раза чаще, в старческом — в 3 раза чаще, чем язвы двенадцатиперстной кишки; в то время как у лиц молодого и среднего возраста это </w:t>
      </w:r>
      <w:r>
        <w:rPr>
          <w:rFonts w:ascii="Times New Roman" w:hAnsi="Times New Roman" w:cs="Times New Roman"/>
          <w:sz w:val="24"/>
          <w:szCs w:val="24"/>
        </w:rPr>
        <w:t>отношение составляет 1:4).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Гастродуоденальные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язвы, впервые возникшие в возрасте старше 80 лет, в литературе не совсем корректно называются «старческими». В патогенезе образования язв у пожилых людей преобладающее значение имеет снижение защитных факторов.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68F1">
        <w:rPr>
          <w:rFonts w:ascii="Times New Roman" w:hAnsi="Times New Roman" w:cs="Times New Roman"/>
          <w:sz w:val="24"/>
          <w:szCs w:val="24"/>
        </w:rPr>
        <w:t xml:space="preserve">В этой связи также следует помнить о том, что риск развития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гастропатии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>, обусловленной приемом нестероидных противовоспалительных средств (НПВС), у пациентов пожилого и старческог</w:t>
      </w:r>
      <w:r>
        <w:rPr>
          <w:rFonts w:ascii="Times New Roman" w:hAnsi="Times New Roman" w:cs="Times New Roman"/>
          <w:sz w:val="24"/>
          <w:szCs w:val="24"/>
        </w:rPr>
        <w:t>о возраста существенно повышен.</w:t>
      </w:r>
      <w:proofErr w:type="gramEnd"/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В диагностике язвенного поражения у пожилых пациентов необходимо помнить о нередко стертой и неопределенной симптоматике; особое внимание следует уделить морфологической верификации (исключени</w:t>
      </w:r>
      <w:r>
        <w:rPr>
          <w:rFonts w:ascii="Times New Roman" w:hAnsi="Times New Roman" w:cs="Times New Roman"/>
          <w:sz w:val="24"/>
          <w:szCs w:val="24"/>
        </w:rPr>
        <w:t>ю язвенной формы рака желудка).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При выявлении у пациента инфекции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Helicobacterpylori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показано проведение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эрадикационной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терапии по общепринятым схемам. Однако следует учитывать повышенный риск развития антибиотик-ассоциированной диареи у пациентов пожилого и старческого возраста. Поэтому назначение антибиотиков должно быть строго обоснованным и контролируем</w:t>
      </w:r>
      <w:r>
        <w:rPr>
          <w:rFonts w:ascii="Times New Roman" w:hAnsi="Times New Roman" w:cs="Times New Roman"/>
          <w:sz w:val="24"/>
          <w:szCs w:val="24"/>
        </w:rPr>
        <w:t>ым.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Лечение язвенных поражений желудка и двенадцатиперстной кишки у пациентов пожилого и старческого возраста должно быть направлено на повышение общих</w:t>
      </w:r>
      <w:r>
        <w:rPr>
          <w:rFonts w:ascii="Times New Roman" w:hAnsi="Times New Roman" w:cs="Times New Roman"/>
          <w:sz w:val="24"/>
          <w:szCs w:val="24"/>
        </w:rPr>
        <w:t xml:space="preserve"> и местных защитных механизмов.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68F1">
        <w:rPr>
          <w:rFonts w:ascii="Times New Roman" w:hAnsi="Times New Roman" w:cs="Times New Roman"/>
          <w:sz w:val="24"/>
          <w:szCs w:val="24"/>
        </w:rPr>
        <w:t>ЛС, используемые в качестве патогенетической терапии, назначают изолиро</w:t>
      </w:r>
      <w:r>
        <w:rPr>
          <w:rFonts w:ascii="Times New Roman" w:hAnsi="Times New Roman" w:cs="Times New Roman"/>
          <w:sz w:val="24"/>
          <w:szCs w:val="24"/>
        </w:rPr>
        <w:t>ванно или в комбинациях:</w:t>
      </w:r>
      <w:proofErr w:type="gramEnd"/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68F1">
        <w:rPr>
          <w:rFonts w:ascii="Times New Roman" w:hAnsi="Times New Roman" w:cs="Times New Roman"/>
          <w:sz w:val="24"/>
          <w:szCs w:val="24"/>
          <w:u w:val="single"/>
        </w:rPr>
        <w:t>Антацидные</w:t>
      </w:r>
      <w:proofErr w:type="spellEnd"/>
      <w:r w:rsidRPr="004568F1">
        <w:rPr>
          <w:rFonts w:ascii="Times New Roman" w:hAnsi="Times New Roman" w:cs="Times New Roman"/>
          <w:sz w:val="24"/>
          <w:szCs w:val="24"/>
          <w:u w:val="single"/>
        </w:rPr>
        <w:t xml:space="preserve"> ЛС.</w:t>
      </w:r>
      <w:r w:rsidRPr="004568F1">
        <w:rPr>
          <w:rFonts w:ascii="Times New Roman" w:hAnsi="Times New Roman" w:cs="Times New Roman"/>
          <w:sz w:val="24"/>
          <w:szCs w:val="24"/>
        </w:rPr>
        <w:t xml:space="preserve"> Их используют только в комбинации с другими ЛС. Целесообразно назначение невсасывающихся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антацидных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ЛС, в составе которых содержится гидроокись магния (с учетом возможности возникновения запоров</w:t>
      </w:r>
      <w:r>
        <w:rPr>
          <w:rFonts w:ascii="Times New Roman" w:hAnsi="Times New Roman" w:cs="Times New Roman"/>
          <w:sz w:val="24"/>
          <w:szCs w:val="24"/>
        </w:rPr>
        <w:t xml:space="preserve"> на фоне применения антацидов).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68F1">
        <w:rPr>
          <w:rFonts w:ascii="Times New Roman" w:hAnsi="Times New Roman" w:cs="Times New Roman"/>
          <w:sz w:val="24"/>
          <w:szCs w:val="24"/>
          <w:u w:val="single"/>
        </w:rPr>
        <w:t>Антисекреторные</w:t>
      </w:r>
      <w:proofErr w:type="spellEnd"/>
      <w:r w:rsidRPr="004568F1">
        <w:rPr>
          <w:rFonts w:ascii="Times New Roman" w:hAnsi="Times New Roman" w:cs="Times New Roman"/>
          <w:sz w:val="24"/>
          <w:szCs w:val="24"/>
          <w:u w:val="single"/>
        </w:rPr>
        <w:t xml:space="preserve"> ЛС.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ИПП: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омепразол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назначают внутрь 20—60 мг/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в течение 2—4 недель, затем с уменьшением дозы до 20—40 мг/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до 4 месяцев.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Блокаторы Н2-рецепторов. Представитель I поколения блокаторов Н2-рецепторов —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циметидин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гистадил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тагомет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) часто дает побочные эффекты (у 10—20% пациентов), такие как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гепатотоксичность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, антиандрогенные свойства, лекарственные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цитопении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. Предпочтительно применение блокаторов Н2-рецепторов II и III поколений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ранитидина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внутрь в дозе 75—150 мг 2 </w:t>
      </w:r>
      <w:proofErr w:type="gramStart"/>
      <w:r w:rsidRPr="004568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68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фамотидина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в дозе 40 мг на ночь в течение 3—4 недель.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атропиноподобных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ЛС и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синтетическиххолиноблокаторов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ограничено побочными эффектами (нарушение мочеиспускания, повышение внутриглазного давления, влияние на сердечный ритм, тонус кишечника и пр.).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Цитопротективные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ЛС.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ЛС, стимулирующие образование слизи: препараты простагландина</w:t>
      </w:r>
      <w:proofErr w:type="gramStart"/>
      <w:r w:rsidRPr="004568F1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4568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мизопростол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карбеноксолон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Мизопростол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назначают внутрь по 200 мг 4 </w:t>
      </w:r>
      <w:proofErr w:type="gramStart"/>
      <w:r w:rsidRPr="004568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68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в течение 3—4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, натрия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карбеноксолон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биогастрон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вентроксол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>) — по 50—100 мг 3 р/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в течение 4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>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lastRenderedPageBreak/>
        <w:t xml:space="preserve">Средства, оказывающие местное защитное действие: алюминиевая соль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октасульфата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сахарозы (500 — 1000 мг 4 </w:t>
      </w:r>
      <w:proofErr w:type="gramStart"/>
      <w:r w:rsidRPr="004568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68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), висмута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субцитрат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коллоидный (120 мг 4 р/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>) до 2 месяцев.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Средства, стимулирующие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репаративные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процессы, назначают пациентам с дефицитом массы тела, длительно не рубцующимися язвами.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Солкосерил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депротеинизированный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экстракт крови крупного рогатого скота) улучшает кровоснабжение слизистой оболочки желудка, выработку желудочной слизи, стимулирует процессы репарации. Назначается внутримышечно по 2—4 мл/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ежедневно курсом до 6 недель.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Производные пиримидина (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метилурацил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пентоксил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), натрия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нуклеинат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рибоксин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обладают анаболическими свойствами, стимулируют общие и местные факторы защиты. Натрия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нуклеинат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назначаю</w:t>
      </w:r>
      <w:r>
        <w:rPr>
          <w:rFonts w:ascii="Times New Roman" w:hAnsi="Times New Roman" w:cs="Times New Roman"/>
          <w:sz w:val="24"/>
          <w:szCs w:val="24"/>
        </w:rPr>
        <w:t xml:space="preserve">т внутрь по 100—200 мг 4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Вспомогательную роль при лечении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гастродуоденальных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язв у пациентов пожилого и старческого возраста играют также сосудистые препараты (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трентал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ноотропил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>).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</w:p>
    <w:p w:rsidR="004568F1" w:rsidRPr="004568F1" w:rsidRDefault="004568F1" w:rsidP="00456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8F1">
        <w:rPr>
          <w:rFonts w:ascii="Times New Roman" w:hAnsi="Times New Roman" w:cs="Times New Roman"/>
          <w:b/>
          <w:sz w:val="24"/>
          <w:szCs w:val="24"/>
        </w:rPr>
        <w:t>Хронический панкреатит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Возрастное снижение экзокринной функции поджелудочной железы может затруднять диагностику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хроническогопанкратита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>. В качестве основных факторов, обусловливающих развитие хронического панкреатита у пожилых, выступают желчнокаменная болезнь, метаболические расстройства (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гиперлипидемия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), нарушение кровообращения, прием некоторых ЛС (мочегонные, НПВС). Однозначно нельзя полностью отвергнуть роль алкоголя. Следует помнить, что боли опоясывающего характера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панкреатогенного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генеза у пожилых пациентов встречаются относительно редко из-за редкого вовлечения головки поджелудочной железы в воспалитель</w:t>
      </w:r>
      <w:r>
        <w:rPr>
          <w:rFonts w:ascii="Times New Roman" w:hAnsi="Times New Roman" w:cs="Times New Roman"/>
          <w:sz w:val="24"/>
          <w:szCs w:val="24"/>
        </w:rPr>
        <w:t>ный процесс.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Основные принципы лечения хронического панкреатита у лиц пожилого и старческого возраста соответствуют общим принципам лечения более молодых пациентов. Особенностью является назначение диеты с более н</w:t>
      </w:r>
      <w:r>
        <w:rPr>
          <w:rFonts w:ascii="Times New Roman" w:hAnsi="Times New Roman" w:cs="Times New Roman"/>
          <w:sz w:val="24"/>
          <w:szCs w:val="24"/>
        </w:rPr>
        <w:t>изкой энергетической ценностью: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на 2 — 5-е сутки обострения панкреатита пациент получает не более 1000 ккал/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>,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с 5 — 6-го дня — до 1600 ккал/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(увеличение энергетической ценности за счет белковой пищи),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с 10-го дня — до 2400 ккал/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>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Для купирования болевого синдрома применяют </w:t>
      </w:r>
      <w:proofErr w:type="gramStart"/>
      <w:r w:rsidRPr="004568F1">
        <w:rPr>
          <w:rFonts w:ascii="Times New Roman" w:hAnsi="Times New Roman" w:cs="Times New Roman"/>
          <w:sz w:val="24"/>
          <w:szCs w:val="24"/>
        </w:rPr>
        <w:t>общепринятые</w:t>
      </w:r>
      <w:proofErr w:type="gramEnd"/>
      <w:r w:rsidRPr="004568F1">
        <w:rPr>
          <w:rFonts w:ascii="Times New Roman" w:hAnsi="Times New Roman" w:cs="Times New Roman"/>
          <w:sz w:val="24"/>
          <w:szCs w:val="24"/>
        </w:rPr>
        <w:t xml:space="preserve"> обезболивающие ЛС (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мет</w:t>
      </w:r>
      <w:r>
        <w:rPr>
          <w:rFonts w:ascii="Times New Roman" w:hAnsi="Times New Roman" w:cs="Times New Roman"/>
          <w:sz w:val="24"/>
          <w:szCs w:val="24"/>
        </w:rPr>
        <w:t>амизол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парацетамол,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промедол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Для подавления секреции нежелательно применять атропин и синтетические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атропиноподобные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средства из-за высокого риска развития побочных явлений в старших возрастных группах. Допускается назначение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платифиллина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, поскольку препарат оказывает меньшее нежелательное влияние на секрецию желез и функцию сердечнососудистой системы, а также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пирензепина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>. Оптимальным является назначение блокаторов Н2-рецепторов или ИПП.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Для профилактики гнойных осложнений с первых дней обострения назначают антибиотики широкого сп</w:t>
      </w:r>
      <w:r>
        <w:rPr>
          <w:rFonts w:ascii="Times New Roman" w:hAnsi="Times New Roman" w:cs="Times New Roman"/>
          <w:sz w:val="24"/>
          <w:szCs w:val="24"/>
        </w:rPr>
        <w:t>ектра действия (цефалоспорины).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Ферментные препараты для лечения болевого синдрома и в качестве заместительной терапии применяют по общим принципам.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</w:p>
    <w:p w:rsidR="004568F1" w:rsidRPr="004568F1" w:rsidRDefault="004568F1" w:rsidP="00456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8F1">
        <w:rPr>
          <w:rFonts w:ascii="Times New Roman" w:hAnsi="Times New Roman" w:cs="Times New Roman"/>
          <w:b/>
          <w:sz w:val="24"/>
          <w:szCs w:val="24"/>
        </w:rPr>
        <w:t>Калькулезный холецистит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Особенностью обострения калькулезного холецистита у пожилых пациентов является склонность к быстрому распространению процесса с развитием осложнений в виде флегмоны, гангрены желчного пузыря. При этом симптомы заболевания нередко бывают стерт</w:t>
      </w:r>
      <w:r>
        <w:rPr>
          <w:rFonts w:ascii="Times New Roman" w:hAnsi="Times New Roman" w:cs="Times New Roman"/>
          <w:sz w:val="24"/>
          <w:szCs w:val="24"/>
        </w:rPr>
        <w:t>ыми.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Принципы ведения пациентов пожилого возраста, страдающих калькулезным холециститом, соответствуют таковым для более молодых пациентов.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</w:p>
    <w:p w:rsidR="004568F1" w:rsidRPr="004568F1" w:rsidRDefault="004568F1" w:rsidP="00456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8F1">
        <w:rPr>
          <w:rFonts w:ascii="Times New Roman" w:hAnsi="Times New Roman" w:cs="Times New Roman"/>
          <w:b/>
          <w:sz w:val="24"/>
          <w:szCs w:val="24"/>
        </w:rPr>
        <w:t>Висцеральный ишемический синдром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Атеросклероз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мезентериальных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артерий и чревного ствола проявляется ноющими болями в животе (чаще в околопупочной области, внизу живота) через 10—15 мин после приема пищи. Сопровождается нарушением пищеварения и похуданием. В консервативном лечении этого заболевания основное место уделяется соблюдению диеты, назначению нитратов, антагонистов кальция,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гиполипидемических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препаратов и спазмолитиков.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</w:p>
    <w:p w:rsidR="004568F1" w:rsidRPr="004568F1" w:rsidRDefault="004568F1" w:rsidP="00456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8F1">
        <w:rPr>
          <w:rFonts w:ascii="Times New Roman" w:hAnsi="Times New Roman" w:cs="Times New Roman"/>
          <w:b/>
          <w:sz w:val="24"/>
          <w:szCs w:val="24"/>
        </w:rPr>
        <w:t>Хронические запоры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68F1">
        <w:rPr>
          <w:rFonts w:ascii="Times New Roman" w:hAnsi="Times New Roman" w:cs="Times New Roman"/>
          <w:sz w:val="24"/>
          <w:szCs w:val="24"/>
        </w:rPr>
        <w:t xml:space="preserve">Развитию запора у пациентов в этой группе в значительной мере способствуют гиподинамия, алиментарные факторы (включающие дефекты жевательного аппарата), нейрогенные факторы (эмоциональные стрессы, депрессия), заболевания аноректальной зоны (геморрой, трещины заднего прохода), медикаментозные факторы (прием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ганглиоблокаторов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холинолитиков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, седативных ЛС, транквилизаторов,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антацидных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>, мочегонных ЛС, длительный прием слабительных ЛС, препаратов кальция), нарушения водно-электролитного баланса (при сердечной, почечной недостаточности, асците).</w:t>
      </w:r>
      <w:proofErr w:type="gramEnd"/>
      <w:r w:rsidRPr="004568F1">
        <w:rPr>
          <w:rFonts w:ascii="Times New Roman" w:hAnsi="Times New Roman" w:cs="Times New Roman"/>
          <w:sz w:val="24"/>
          <w:szCs w:val="24"/>
        </w:rPr>
        <w:t xml:space="preserve"> Важно исключить наличие опухоли то</w:t>
      </w:r>
      <w:r>
        <w:rPr>
          <w:rFonts w:ascii="Times New Roman" w:hAnsi="Times New Roman" w:cs="Times New Roman"/>
          <w:sz w:val="24"/>
          <w:szCs w:val="24"/>
        </w:rPr>
        <w:t>лстой кишки как причину запора.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При лечении запора главным направлением является соблюдение диеты: прием достаточного количества жидкости (воды и соков не менее 1,2—1,5 л/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>), утром натощак выпивать стакан холодной воды; употребление блюд, богатых растительными пищевыми волокнами, органическими кислотами, поваренной солью, углекислотой (в отсутствие проти</w:t>
      </w:r>
      <w:r>
        <w:rPr>
          <w:rFonts w:ascii="Times New Roman" w:hAnsi="Times New Roman" w:cs="Times New Roman"/>
          <w:sz w:val="24"/>
          <w:szCs w:val="24"/>
        </w:rPr>
        <w:t>вопоказаний).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При неэффективности соблюдения диеты возникает необходимость в назначении слабительных ЛС. Рекомендуется начинать с небольших доз слабительных — </w:t>
      </w:r>
      <w:r w:rsidRPr="004568F1">
        <w:rPr>
          <w:rFonts w:ascii="Times New Roman" w:hAnsi="Times New Roman" w:cs="Times New Roman"/>
          <w:sz w:val="24"/>
          <w:szCs w:val="24"/>
        </w:rPr>
        <w:lastRenderedPageBreak/>
        <w:t xml:space="preserve">«наполнителей» для увеличения объема кишечного содержимого — морской капусты, пшеничных отрубей, семени подорожника,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метилцеллюлозы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>, а также «контактных» слабительных — глицериновых свечей. Лекарственную терапию рекомендуется сочетать с массажем живота, лечебной физкультурой.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</w:p>
    <w:p w:rsidR="004568F1" w:rsidRPr="004568F1" w:rsidRDefault="004568F1" w:rsidP="00456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68F1">
        <w:rPr>
          <w:rFonts w:ascii="Times New Roman" w:hAnsi="Times New Roman" w:cs="Times New Roman"/>
          <w:b/>
          <w:sz w:val="24"/>
          <w:szCs w:val="24"/>
        </w:rPr>
        <w:t>Дивертикулярная</w:t>
      </w:r>
      <w:proofErr w:type="spellEnd"/>
      <w:r w:rsidRPr="004568F1">
        <w:rPr>
          <w:rFonts w:ascii="Times New Roman" w:hAnsi="Times New Roman" w:cs="Times New Roman"/>
          <w:b/>
          <w:sz w:val="24"/>
          <w:szCs w:val="24"/>
        </w:rPr>
        <w:t xml:space="preserve"> болезнь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Принципы консервативного лечения неосложненной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дивертикулярной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болезни и хронического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дивертикулита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сводятся к профилактике и устранению запоров, приему спазмолитических ЛС —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мебеверина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дицетела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гиосцин</w:t>
      </w:r>
      <w:r>
        <w:rPr>
          <w:rFonts w:ascii="Times New Roman" w:hAnsi="Times New Roman" w:cs="Times New Roman"/>
          <w:sz w:val="24"/>
          <w:szCs w:val="24"/>
        </w:rPr>
        <w:t>абутилбромида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 показаниям).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При остром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дивертикулите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4568F1">
        <w:rPr>
          <w:rFonts w:ascii="Times New Roman" w:hAnsi="Times New Roman" w:cs="Times New Roman"/>
          <w:sz w:val="24"/>
          <w:szCs w:val="24"/>
        </w:rPr>
        <w:t>обострении</w:t>
      </w:r>
      <w:proofErr w:type="gramEnd"/>
      <w:r w:rsidRPr="004568F1">
        <w:rPr>
          <w:rFonts w:ascii="Times New Roman" w:hAnsi="Times New Roman" w:cs="Times New Roman"/>
          <w:sz w:val="24"/>
          <w:szCs w:val="24"/>
        </w:rPr>
        <w:t xml:space="preserve"> хронического показаны госпитализация, проведение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дезинтоксикационной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терапии, применение антибиотиков широкого спектра действия, эффективных против кишечной микрофлоры. На время обострения целесообразно соблюдение диеты № 4 или голодание с проведением парентерального питания. Для купирования поноса показ</w:t>
      </w:r>
      <w:r>
        <w:rPr>
          <w:rFonts w:ascii="Times New Roman" w:hAnsi="Times New Roman" w:cs="Times New Roman"/>
          <w:sz w:val="24"/>
          <w:szCs w:val="24"/>
        </w:rPr>
        <w:t>ано назначение вяжущих средств.</w:t>
      </w:r>
    </w:p>
    <w:p w:rsid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Показаниями к экстренному хирургическому лечению являются признаки перфорации, перитонита, острой непроходимости кишечника, тяжелого кишечного кровотечения; отсроченное хирургическое лечение показано при неэффективности консервативного лечения острого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дивертикулита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; плановое хирургическое лечение проводят при частичной непроходимости кишечника, повторном тяжелом кровотечении, частых рецидивах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дивертикулита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формировании свищей, абсцессах.</w:t>
      </w:r>
    </w:p>
    <w:p w:rsidR="00DB0839" w:rsidRPr="00DB0839" w:rsidRDefault="00DB0839" w:rsidP="00DB0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ФИТОТЕРАПИЯ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При воспалительных заболеваниях желудочно-кишечного тракта, таких как гастрит (особенно его смешанные типы АВ, АС), гастродуоденит, показано использование противовоспалительных растительных препаратов. </w:t>
      </w:r>
      <w:proofErr w:type="gramStart"/>
      <w:r w:rsidRPr="004568F1">
        <w:rPr>
          <w:rFonts w:ascii="Times New Roman" w:hAnsi="Times New Roman" w:cs="Times New Roman"/>
          <w:sz w:val="24"/>
          <w:szCs w:val="24"/>
        </w:rPr>
        <w:t>К растениям противовоспалительного действия можно отнести аир, алоэ, березу, девясил, зверобой, золототысячник, календулу, капусту, крапиву, лапчатку, лен, лопух, мяту, овес, одуванчик, подорожник, ромашку, сушеницу, тмин, тысячелистник, цикорий, чис</w:t>
      </w:r>
      <w:r>
        <w:rPr>
          <w:rFonts w:ascii="Times New Roman" w:hAnsi="Times New Roman" w:cs="Times New Roman"/>
          <w:sz w:val="24"/>
          <w:szCs w:val="24"/>
        </w:rPr>
        <w:t>тотел, шиповник, эвкалипт и др.</w:t>
      </w:r>
      <w:proofErr w:type="gramEnd"/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Для лечения заболеваний желудка, ассоциированных с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Helicobacterpylori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, используются стандартные схемы, рекомендованные решением Маастрихтских согласительных конференций. Однако в комплексной терапии есть место и препаратам растительного происхождения. Фитотерапия язвенной болезни желудка и двенадцатиперстной кишки имеет давнюю историю. Несмотря на незнание вопросов развития заболевания, в прошлом фитотерапия с успехом применялась для лечения патологии благодаря универсальному набору биологически активных веществ, входящих в состав лекарственных растений. В процессе фитотерапии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хеликобактериоза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(гастрита, гастродуоденита и язвенной болезни желудка и двенадцатиперстной кишки) необходимо исп</w:t>
      </w:r>
      <w:r>
        <w:rPr>
          <w:rFonts w:ascii="Times New Roman" w:hAnsi="Times New Roman" w:cs="Times New Roman"/>
          <w:sz w:val="24"/>
          <w:szCs w:val="24"/>
        </w:rPr>
        <w:t>ользовать растения, обладающие: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— антимикробным и п</w:t>
      </w:r>
      <w:r>
        <w:rPr>
          <w:rFonts w:ascii="Times New Roman" w:hAnsi="Times New Roman" w:cs="Times New Roman"/>
          <w:sz w:val="24"/>
          <w:szCs w:val="24"/>
        </w:rPr>
        <w:t>ротивовоспалительным действием;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— способностью сни</w:t>
      </w:r>
      <w:r>
        <w:rPr>
          <w:rFonts w:ascii="Times New Roman" w:hAnsi="Times New Roman" w:cs="Times New Roman"/>
          <w:sz w:val="24"/>
          <w:szCs w:val="24"/>
        </w:rPr>
        <w:t>жать продукцию соляной кислоты;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— способностью защищать слизистую от механичес</w:t>
      </w:r>
      <w:r>
        <w:rPr>
          <w:rFonts w:ascii="Times New Roman" w:hAnsi="Times New Roman" w:cs="Times New Roman"/>
          <w:sz w:val="24"/>
          <w:szCs w:val="24"/>
        </w:rPr>
        <w:t>кого и химического повреждения;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lastRenderedPageBreak/>
        <w:t xml:space="preserve">— способностью активизировать процесс </w:t>
      </w:r>
      <w:r>
        <w:rPr>
          <w:rFonts w:ascii="Times New Roman" w:hAnsi="Times New Roman" w:cs="Times New Roman"/>
          <w:sz w:val="24"/>
          <w:szCs w:val="24"/>
        </w:rPr>
        <w:t>регенерации слизистой оболочки.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Такие требования выполнимы лишь при использовании наравне со стандартной антихеликобактерной терапией </w:t>
      </w:r>
      <w:r>
        <w:rPr>
          <w:rFonts w:ascii="Times New Roman" w:hAnsi="Times New Roman" w:cs="Times New Roman"/>
          <w:sz w:val="24"/>
          <w:szCs w:val="24"/>
        </w:rPr>
        <w:t>фитотерапевтических препаратов.</w:t>
      </w:r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 xml:space="preserve">Исходя из патогенеза </w:t>
      </w:r>
      <w:proofErr w:type="spellStart"/>
      <w:r w:rsidRPr="004568F1">
        <w:rPr>
          <w:rFonts w:ascii="Times New Roman" w:hAnsi="Times New Roman" w:cs="Times New Roman"/>
          <w:sz w:val="24"/>
          <w:szCs w:val="24"/>
        </w:rPr>
        <w:t>хеликобактериоза</w:t>
      </w:r>
      <w:proofErr w:type="spellEnd"/>
      <w:r w:rsidRPr="004568F1">
        <w:rPr>
          <w:rFonts w:ascii="Times New Roman" w:hAnsi="Times New Roman" w:cs="Times New Roman"/>
          <w:sz w:val="24"/>
          <w:szCs w:val="24"/>
        </w:rPr>
        <w:t xml:space="preserve"> при гастродуодените и особенно язвенной болезни, период обострения сопровождается снижением уровня эстрогенов в крови при одновременном увеличении андрогенов. Поэтому при составлении сборов следует обязательно включать растения, повышающие эстрогенную активность (ромашка аптечная, тысячелистник обыкновенный, душица обыкнов</w:t>
      </w:r>
      <w:r>
        <w:rPr>
          <w:rFonts w:ascii="Times New Roman" w:hAnsi="Times New Roman" w:cs="Times New Roman"/>
          <w:sz w:val="24"/>
          <w:szCs w:val="24"/>
        </w:rPr>
        <w:t>енная, лапчатка гусиная и др.).</w:t>
      </w:r>
    </w:p>
    <w:p w:rsid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  <w:r w:rsidRPr="004568F1">
        <w:rPr>
          <w:rFonts w:ascii="Times New Roman" w:hAnsi="Times New Roman" w:cs="Times New Roman"/>
          <w:sz w:val="24"/>
          <w:szCs w:val="24"/>
        </w:rPr>
        <w:t>Наиболее эффективными растительными препаратами при лечении заболеваний желудочно-кишечного тракта являются корневища аира, цветки ромашки лекарственной и семена льна.</w:t>
      </w:r>
    </w:p>
    <w:p w:rsidR="004568F1" w:rsidRPr="00776974" w:rsidRDefault="00776974" w:rsidP="004568F1">
      <w:pPr>
        <w:rPr>
          <w:rFonts w:ascii="Times New Roman" w:hAnsi="Times New Roman" w:cs="Times New Roman"/>
          <w:b/>
          <w:sz w:val="28"/>
          <w:szCs w:val="28"/>
        </w:rPr>
      </w:pPr>
      <w:r w:rsidRPr="00776974">
        <w:rPr>
          <w:rFonts w:ascii="Times New Roman" w:hAnsi="Times New Roman" w:cs="Times New Roman"/>
          <w:b/>
          <w:sz w:val="28"/>
          <w:szCs w:val="28"/>
        </w:rPr>
        <w:t xml:space="preserve">Подготовила ВОП, </w:t>
      </w:r>
      <w:proofErr w:type="gramStart"/>
      <w:r w:rsidRPr="00776974">
        <w:rPr>
          <w:rFonts w:ascii="Times New Roman" w:hAnsi="Times New Roman" w:cs="Times New Roman"/>
          <w:b/>
          <w:sz w:val="28"/>
          <w:szCs w:val="28"/>
        </w:rPr>
        <w:t>главный</w:t>
      </w:r>
      <w:proofErr w:type="gramEnd"/>
      <w:r w:rsidRPr="007769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6974">
        <w:rPr>
          <w:rFonts w:ascii="Times New Roman" w:hAnsi="Times New Roman" w:cs="Times New Roman"/>
          <w:b/>
          <w:sz w:val="28"/>
          <w:szCs w:val="28"/>
        </w:rPr>
        <w:t>валеолог</w:t>
      </w:r>
      <w:proofErr w:type="spellEnd"/>
      <w:r w:rsidRPr="00776974">
        <w:rPr>
          <w:rFonts w:ascii="Times New Roman" w:hAnsi="Times New Roman" w:cs="Times New Roman"/>
          <w:b/>
          <w:sz w:val="28"/>
          <w:szCs w:val="28"/>
        </w:rPr>
        <w:t xml:space="preserve"> Дзержинского района </w:t>
      </w:r>
      <w:proofErr w:type="spellStart"/>
      <w:r w:rsidRPr="00776974">
        <w:rPr>
          <w:rFonts w:ascii="Times New Roman" w:hAnsi="Times New Roman" w:cs="Times New Roman"/>
          <w:b/>
          <w:sz w:val="28"/>
          <w:szCs w:val="28"/>
        </w:rPr>
        <w:t>Ильюхина</w:t>
      </w:r>
      <w:proofErr w:type="spellEnd"/>
      <w:r w:rsidRPr="00776974">
        <w:rPr>
          <w:rFonts w:ascii="Times New Roman" w:hAnsi="Times New Roman" w:cs="Times New Roman"/>
          <w:b/>
          <w:sz w:val="28"/>
          <w:szCs w:val="28"/>
        </w:rPr>
        <w:t xml:space="preserve"> Ольга Николаевна</w:t>
      </w:r>
      <w:bookmarkStart w:id="0" w:name="_GoBack"/>
      <w:bookmarkEnd w:id="0"/>
    </w:p>
    <w:p w:rsidR="004568F1" w:rsidRPr="004568F1" w:rsidRDefault="004568F1" w:rsidP="004568F1">
      <w:pPr>
        <w:rPr>
          <w:rFonts w:ascii="Times New Roman" w:hAnsi="Times New Roman" w:cs="Times New Roman"/>
          <w:sz w:val="24"/>
          <w:szCs w:val="24"/>
        </w:rPr>
      </w:pPr>
    </w:p>
    <w:p w:rsidR="00837952" w:rsidRPr="00872614" w:rsidRDefault="00837952" w:rsidP="00837952">
      <w:pPr>
        <w:rPr>
          <w:rFonts w:ascii="Times New Roman" w:hAnsi="Times New Roman" w:cs="Times New Roman"/>
          <w:sz w:val="24"/>
          <w:szCs w:val="24"/>
        </w:rPr>
      </w:pPr>
    </w:p>
    <w:sectPr w:rsidR="00837952" w:rsidRPr="00872614" w:rsidSect="00DB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749"/>
    <w:multiLevelType w:val="multilevel"/>
    <w:tmpl w:val="723A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16EEC"/>
    <w:multiLevelType w:val="hybridMultilevel"/>
    <w:tmpl w:val="AEA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B64ED"/>
    <w:multiLevelType w:val="multilevel"/>
    <w:tmpl w:val="4242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F5FAF"/>
    <w:multiLevelType w:val="hybridMultilevel"/>
    <w:tmpl w:val="127A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D3779"/>
    <w:multiLevelType w:val="multilevel"/>
    <w:tmpl w:val="B9D8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C1F20"/>
    <w:multiLevelType w:val="multilevel"/>
    <w:tmpl w:val="9B22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176F1"/>
    <w:multiLevelType w:val="hybridMultilevel"/>
    <w:tmpl w:val="DE5E6FAA"/>
    <w:lvl w:ilvl="0" w:tplc="9D566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495E05"/>
    <w:multiLevelType w:val="hybridMultilevel"/>
    <w:tmpl w:val="2198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37E1F"/>
    <w:multiLevelType w:val="multilevel"/>
    <w:tmpl w:val="9496D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D49E8"/>
    <w:multiLevelType w:val="hybridMultilevel"/>
    <w:tmpl w:val="442A6A14"/>
    <w:lvl w:ilvl="0" w:tplc="A7C23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677843"/>
    <w:multiLevelType w:val="multilevel"/>
    <w:tmpl w:val="E7E6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EA1DC3"/>
    <w:multiLevelType w:val="multilevel"/>
    <w:tmpl w:val="1576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A6017"/>
    <w:multiLevelType w:val="hybridMultilevel"/>
    <w:tmpl w:val="9882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E09"/>
    <w:rsid w:val="00002B5E"/>
    <w:rsid w:val="00007EEA"/>
    <w:rsid w:val="0001180D"/>
    <w:rsid w:val="00346FA9"/>
    <w:rsid w:val="003C694B"/>
    <w:rsid w:val="004225E6"/>
    <w:rsid w:val="00446E54"/>
    <w:rsid w:val="004568F1"/>
    <w:rsid w:val="00574957"/>
    <w:rsid w:val="005C2E09"/>
    <w:rsid w:val="00660F1C"/>
    <w:rsid w:val="00670BF5"/>
    <w:rsid w:val="00732E8C"/>
    <w:rsid w:val="00776974"/>
    <w:rsid w:val="00784795"/>
    <w:rsid w:val="007D7E12"/>
    <w:rsid w:val="00802B0C"/>
    <w:rsid w:val="00827785"/>
    <w:rsid w:val="00837952"/>
    <w:rsid w:val="00872614"/>
    <w:rsid w:val="00940F9D"/>
    <w:rsid w:val="009F2CD3"/>
    <w:rsid w:val="00A15A16"/>
    <w:rsid w:val="00A71A0C"/>
    <w:rsid w:val="00AD69E9"/>
    <w:rsid w:val="00AE6031"/>
    <w:rsid w:val="00AE7E98"/>
    <w:rsid w:val="00AF5D8E"/>
    <w:rsid w:val="00B22BA1"/>
    <w:rsid w:val="00B26898"/>
    <w:rsid w:val="00B478A1"/>
    <w:rsid w:val="00B7587D"/>
    <w:rsid w:val="00BC37EE"/>
    <w:rsid w:val="00BF1082"/>
    <w:rsid w:val="00BF7522"/>
    <w:rsid w:val="00C135EE"/>
    <w:rsid w:val="00C26838"/>
    <w:rsid w:val="00CA77A3"/>
    <w:rsid w:val="00CC4130"/>
    <w:rsid w:val="00DA75A6"/>
    <w:rsid w:val="00DB0839"/>
    <w:rsid w:val="00DB6999"/>
    <w:rsid w:val="00DD0C9F"/>
    <w:rsid w:val="00DF6BF6"/>
    <w:rsid w:val="00E02846"/>
    <w:rsid w:val="00EC35C0"/>
    <w:rsid w:val="00EC5E5F"/>
    <w:rsid w:val="00EE25AD"/>
    <w:rsid w:val="00F075F0"/>
    <w:rsid w:val="00F40C55"/>
    <w:rsid w:val="00F54D84"/>
    <w:rsid w:val="00F73E5D"/>
    <w:rsid w:val="00FB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2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2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97B9-3D5B-43B1-A015-B30961A1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2020-09-30T18:08:00Z</dcterms:created>
  <dcterms:modified xsi:type="dcterms:W3CDTF">2021-07-27T20:01:00Z</dcterms:modified>
</cp:coreProperties>
</file>